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072" w:type="dxa"/>
        <w:tblCellSpacing w:w="15" w:type="dxa"/>
        <w:tblCellMar>
          <w:top w:w="15" w:type="dxa"/>
          <w:left w:w="15" w:type="dxa"/>
          <w:bottom w:w="15" w:type="dxa"/>
          <w:right w:w="15" w:type="dxa"/>
        </w:tblCellMar>
        <w:tblLook w:val="04A0" w:firstRow="1" w:lastRow="0" w:firstColumn="1" w:lastColumn="0" w:noHBand="0" w:noVBand="1"/>
      </w:tblPr>
      <w:tblGrid>
        <w:gridCol w:w="9027"/>
        <w:gridCol w:w="45"/>
      </w:tblGrid>
      <w:tr w:rsidR="000F0A3B" w:rsidRPr="000F0A3B" w:rsidTr="000F0A3B">
        <w:trPr>
          <w:gridAfter w:val="1"/>
          <w:tblCellSpacing w:w="15" w:type="dxa"/>
        </w:trPr>
        <w:tc>
          <w:tcPr>
            <w:tcW w:w="8970" w:type="dxa"/>
            <w:vAlign w:val="center"/>
            <w:hideMark/>
          </w:tcPr>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820"/>
              <w:gridCol w:w="270"/>
              <w:gridCol w:w="1836"/>
              <w:gridCol w:w="270"/>
              <w:gridCol w:w="1149"/>
              <w:gridCol w:w="270"/>
              <w:gridCol w:w="808"/>
            </w:tblGrid>
            <w:tr w:rsidR="000F0A3B" w:rsidRPr="000F0A3B" w:rsidTr="000F0A3B">
              <w:trPr>
                <w:tblCellSpacing w:w="15" w:type="dxa"/>
                <w:jc w:val="center"/>
              </w:trPr>
              <w:tc>
                <w:tcPr>
                  <w:tcW w:w="0" w:type="auto"/>
                  <w:vAlign w:val="center"/>
                  <w:hideMark/>
                </w:tcPr>
                <w:p w:rsidR="000F0A3B" w:rsidRPr="000F0A3B" w:rsidRDefault="000F0A3B" w:rsidP="000F0A3B">
                  <w:pPr>
                    <w:spacing w:after="0" w:line="240" w:lineRule="auto"/>
                    <w:jc w:val="center"/>
                    <w:rPr>
                      <w:rFonts w:ascii="Times New Roman" w:eastAsia="Times New Roman" w:hAnsi="Times New Roman" w:cs="Times New Roman"/>
                      <w:b/>
                      <w:bCs/>
                      <w:sz w:val="24"/>
                      <w:szCs w:val="24"/>
                      <w:lang w:eastAsia="ru-RU"/>
                    </w:rPr>
                  </w:pPr>
                  <w:hyperlink r:id="rId5" w:history="1">
                    <w:r w:rsidRPr="000F0A3B">
                      <w:rPr>
                        <w:rFonts w:ascii="Times New Roman" w:eastAsia="Times New Roman" w:hAnsi="Times New Roman" w:cs="Times New Roman"/>
                        <w:b/>
                        <w:bCs/>
                        <w:color w:val="025391"/>
                        <w:sz w:val="24"/>
                        <w:szCs w:val="24"/>
                        <w:lang w:eastAsia="ru-RU"/>
                      </w:rPr>
                      <w:t>&lt; Пред</w:t>
                    </w:r>
                  </w:hyperlink>
                </w:p>
              </w:tc>
              <w:tc>
                <w:tcPr>
                  <w:tcW w:w="240" w:type="dxa"/>
                  <w:vAlign w:val="center"/>
                  <w:hideMark/>
                </w:tcPr>
                <w:p w:rsidR="000F0A3B" w:rsidRPr="000F0A3B" w:rsidRDefault="000F0A3B" w:rsidP="000F0A3B">
                  <w:pPr>
                    <w:spacing w:after="0" w:line="240" w:lineRule="auto"/>
                    <w:rPr>
                      <w:rFonts w:ascii="Times New Roman" w:eastAsia="Times New Roman" w:hAnsi="Times New Roman" w:cs="Times New Roman"/>
                      <w:sz w:val="24"/>
                      <w:szCs w:val="24"/>
                      <w:lang w:eastAsia="ru-RU"/>
                    </w:rPr>
                  </w:pPr>
                  <w:r w:rsidRPr="000F0A3B">
                    <w:rPr>
                      <w:rFonts w:ascii="Times New Roman" w:eastAsia="Times New Roman" w:hAnsi="Times New Roman" w:cs="Times New Roman"/>
                      <w:sz w:val="24"/>
                      <w:szCs w:val="24"/>
                      <w:lang w:eastAsia="ru-RU"/>
                    </w:rPr>
                    <w:t> </w:t>
                  </w:r>
                </w:p>
              </w:tc>
              <w:tc>
                <w:tcPr>
                  <w:tcW w:w="0" w:type="auto"/>
                  <w:vAlign w:val="center"/>
                  <w:hideMark/>
                </w:tcPr>
                <w:p w:rsidR="000F0A3B" w:rsidRPr="000F0A3B" w:rsidRDefault="000F0A3B" w:rsidP="000F0A3B">
                  <w:pPr>
                    <w:spacing w:after="0" w:line="240" w:lineRule="auto"/>
                    <w:jc w:val="center"/>
                    <w:rPr>
                      <w:rFonts w:ascii="Times New Roman" w:eastAsia="Times New Roman" w:hAnsi="Times New Roman" w:cs="Times New Roman"/>
                      <w:b/>
                      <w:bCs/>
                      <w:sz w:val="24"/>
                      <w:szCs w:val="24"/>
                      <w:lang w:eastAsia="ru-RU"/>
                    </w:rPr>
                  </w:pPr>
                  <w:hyperlink r:id="rId6" w:history="1">
                    <w:r w:rsidRPr="000F0A3B">
                      <w:rPr>
                        <w:rFonts w:ascii="Times New Roman" w:eastAsia="Times New Roman" w:hAnsi="Times New Roman" w:cs="Times New Roman"/>
                        <w:b/>
                        <w:bCs/>
                        <w:color w:val="025391"/>
                        <w:sz w:val="24"/>
                        <w:szCs w:val="24"/>
                        <w:lang w:eastAsia="ru-RU"/>
                      </w:rPr>
                      <w:t>СОДЕРЖАНИЕ</w:t>
                    </w:r>
                  </w:hyperlink>
                </w:p>
              </w:tc>
              <w:tc>
                <w:tcPr>
                  <w:tcW w:w="240" w:type="dxa"/>
                  <w:vAlign w:val="center"/>
                  <w:hideMark/>
                </w:tcPr>
                <w:p w:rsidR="000F0A3B" w:rsidRPr="000F0A3B" w:rsidRDefault="000F0A3B" w:rsidP="000F0A3B">
                  <w:pPr>
                    <w:spacing w:after="0" w:line="240" w:lineRule="auto"/>
                    <w:rPr>
                      <w:rFonts w:ascii="Times New Roman" w:eastAsia="Times New Roman" w:hAnsi="Times New Roman" w:cs="Times New Roman"/>
                      <w:sz w:val="24"/>
                      <w:szCs w:val="24"/>
                      <w:lang w:eastAsia="ru-RU"/>
                    </w:rPr>
                  </w:pPr>
                  <w:r w:rsidRPr="000F0A3B">
                    <w:rPr>
                      <w:rFonts w:ascii="Times New Roman" w:eastAsia="Times New Roman" w:hAnsi="Times New Roman" w:cs="Times New Roman"/>
                      <w:sz w:val="24"/>
                      <w:szCs w:val="24"/>
                      <w:lang w:eastAsia="ru-RU"/>
                    </w:rPr>
                    <w:t> </w:t>
                  </w:r>
                </w:p>
              </w:tc>
              <w:tc>
                <w:tcPr>
                  <w:tcW w:w="0" w:type="auto"/>
                  <w:vAlign w:val="center"/>
                  <w:hideMark/>
                </w:tcPr>
                <w:p w:rsidR="000F0A3B" w:rsidRPr="000F0A3B" w:rsidRDefault="000F0A3B" w:rsidP="000F0A3B">
                  <w:pPr>
                    <w:spacing w:after="0" w:line="240" w:lineRule="auto"/>
                    <w:jc w:val="center"/>
                    <w:rPr>
                      <w:rFonts w:ascii="Times New Roman" w:eastAsia="Times New Roman" w:hAnsi="Times New Roman" w:cs="Times New Roman"/>
                      <w:b/>
                      <w:bCs/>
                      <w:sz w:val="24"/>
                      <w:szCs w:val="24"/>
                      <w:lang w:eastAsia="ru-RU"/>
                    </w:rPr>
                  </w:pPr>
                  <w:hyperlink r:id="rId7" w:history="1">
                    <w:r w:rsidRPr="000F0A3B">
                      <w:rPr>
                        <w:rFonts w:ascii="Times New Roman" w:eastAsia="Times New Roman" w:hAnsi="Times New Roman" w:cs="Times New Roman"/>
                        <w:b/>
                        <w:bCs/>
                        <w:color w:val="1FA2D6"/>
                        <w:sz w:val="24"/>
                        <w:szCs w:val="24"/>
                        <w:lang w:eastAsia="ru-RU"/>
                      </w:rPr>
                      <w:t>Загрузить</w:t>
                    </w:r>
                  </w:hyperlink>
                </w:p>
              </w:tc>
              <w:tc>
                <w:tcPr>
                  <w:tcW w:w="240" w:type="dxa"/>
                  <w:vAlign w:val="center"/>
                  <w:hideMark/>
                </w:tcPr>
                <w:p w:rsidR="000F0A3B" w:rsidRPr="000F0A3B" w:rsidRDefault="000F0A3B" w:rsidP="000F0A3B">
                  <w:pPr>
                    <w:spacing w:after="0" w:line="240" w:lineRule="auto"/>
                    <w:rPr>
                      <w:rFonts w:ascii="Times New Roman" w:eastAsia="Times New Roman" w:hAnsi="Times New Roman" w:cs="Times New Roman"/>
                      <w:sz w:val="24"/>
                      <w:szCs w:val="24"/>
                      <w:lang w:eastAsia="ru-RU"/>
                    </w:rPr>
                  </w:pPr>
                  <w:r w:rsidRPr="000F0A3B">
                    <w:rPr>
                      <w:rFonts w:ascii="Times New Roman" w:eastAsia="Times New Roman" w:hAnsi="Times New Roman" w:cs="Times New Roman"/>
                      <w:sz w:val="24"/>
                      <w:szCs w:val="24"/>
                      <w:lang w:eastAsia="ru-RU"/>
                    </w:rPr>
                    <w:t> </w:t>
                  </w:r>
                </w:p>
              </w:tc>
              <w:tc>
                <w:tcPr>
                  <w:tcW w:w="0" w:type="auto"/>
                  <w:vAlign w:val="center"/>
                  <w:hideMark/>
                </w:tcPr>
                <w:p w:rsidR="000F0A3B" w:rsidRPr="000F0A3B" w:rsidRDefault="000F0A3B" w:rsidP="000F0A3B">
                  <w:pPr>
                    <w:spacing w:after="0" w:line="240" w:lineRule="auto"/>
                    <w:jc w:val="center"/>
                    <w:rPr>
                      <w:rFonts w:ascii="Times New Roman" w:eastAsia="Times New Roman" w:hAnsi="Times New Roman" w:cs="Times New Roman"/>
                      <w:b/>
                      <w:bCs/>
                      <w:sz w:val="24"/>
                      <w:szCs w:val="24"/>
                      <w:lang w:eastAsia="ru-RU"/>
                    </w:rPr>
                  </w:pPr>
                  <w:hyperlink r:id="rId8" w:history="1">
                    <w:r w:rsidRPr="000F0A3B">
                      <w:rPr>
                        <w:rFonts w:ascii="Times New Roman" w:eastAsia="Times New Roman" w:hAnsi="Times New Roman" w:cs="Times New Roman"/>
                        <w:b/>
                        <w:bCs/>
                        <w:color w:val="025391"/>
                        <w:sz w:val="24"/>
                        <w:szCs w:val="24"/>
                        <w:lang w:eastAsia="ru-RU"/>
                      </w:rPr>
                      <w:t>След &gt;</w:t>
                    </w:r>
                  </w:hyperlink>
                </w:p>
              </w:tc>
            </w:tr>
          </w:tbl>
          <w:p w:rsidR="000F0A3B" w:rsidRPr="000F0A3B" w:rsidRDefault="000F0A3B" w:rsidP="000F0A3B">
            <w:pPr>
              <w:spacing w:after="0" w:line="240" w:lineRule="auto"/>
              <w:rPr>
                <w:rFonts w:ascii="Arial" w:eastAsia="Times New Roman" w:hAnsi="Arial" w:cs="Arial"/>
                <w:color w:val="646464"/>
                <w:sz w:val="23"/>
                <w:szCs w:val="23"/>
                <w:lang w:eastAsia="ru-RU"/>
              </w:rPr>
            </w:pPr>
          </w:p>
        </w:tc>
      </w:tr>
      <w:tr w:rsidR="000F0A3B" w:rsidRPr="000F0A3B" w:rsidTr="000F0A3B">
        <w:trPr>
          <w:tblCellSpacing w:w="15" w:type="dxa"/>
        </w:trPr>
        <w:tc>
          <w:tcPr>
            <w:tcW w:w="0" w:type="auto"/>
            <w:gridSpan w:val="2"/>
            <w:hideMark/>
          </w:tcPr>
          <w:p w:rsidR="000F0A3B" w:rsidRPr="000F0A3B" w:rsidRDefault="000F0A3B" w:rsidP="000F0A3B">
            <w:pPr>
              <w:spacing w:before="100" w:beforeAutospacing="1" w:after="100" w:afterAutospacing="1" w:line="240" w:lineRule="auto"/>
              <w:outlineLvl w:val="0"/>
              <w:rPr>
                <w:rFonts w:ascii="Arial" w:eastAsia="Times New Roman" w:hAnsi="Arial" w:cs="Arial"/>
                <w:color w:val="646464"/>
                <w:kern w:val="36"/>
                <w:sz w:val="48"/>
                <w:szCs w:val="48"/>
                <w:lang w:eastAsia="ru-RU"/>
              </w:rPr>
            </w:pPr>
            <w:r w:rsidRPr="000F0A3B">
              <w:rPr>
                <w:rFonts w:ascii="Arial" w:eastAsia="Times New Roman" w:hAnsi="Arial" w:cs="Arial"/>
                <w:color w:val="646464"/>
                <w:kern w:val="36"/>
                <w:sz w:val="48"/>
                <w:szCs w:val="48"/>
                <w:lang w:eastAsia="ru-RU"/>
              </w:rPr>
              <w:t>Информационное обеспечение государственного управления</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государственное управление кадровый</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Сегодня во всем мире признано, что информация является важнейшим средством организации и регулирования частной и общественной жизнедеятельности, одной из форм закрепления и распространения имеющихся и приобретаемых знаний, действенным инструментом и «материей» управления.</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Информация как совокупность каких-либо сведений, данных, фактов, характеристик о составляющих предметах, явлениях, процессах, отношениях, событиях и т.д., собранных и систематизированных в пригодную для использования форму, составляет основу государственного управления. По существу, все управленческие процессы - это не что иное, как поиск, фиксация, анализ, оценка, закрепление, распространение социальной информации, т.е. той информации, которая связана с отражением, познанием и преобразованием различных форм жизнедеятельности людей.</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Информационное обеспечение представляет собой совокупность информационных ресурсов (банков данных), средств, методов и технологий сбора, обработки, накопления и выдачи информации.</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b/>
                <w:bCs/>
                <w:color w:val="646464"/>
                <w:sz w:val="23"/>
                <w:szCs w:val="23"/>
                <w:lang w:eastAsia="ru-RU"/>
              </w:rPr>
              <w:t>Управленческая информация</w:t>
            </w:r>
            <w:r w:rsidRPr="000F0A3B">
              <w:rPr>
                <w:rFonts w:ascii="Arial" w:eastAsia="Times New Roman" w:hAnsi="Arial" w:cs="Arial"/>
                <w:color w:val="646464"/>
                <w:sz w:val="23"/>
                <w:szCs w:val="23"/>
                <w:lang w:eastAsia="ru-RU"/>
              </w:rPr>
              <w:t> - это часть социальной информации, которая выделена из ее общего массива по критериям пригодности к обслуживанию государственно-правовых процессов формирования и реализации управленческих воздействий.</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Такая информация должна быть ориентирована, по крайней мере, по следующим направлениям: во-первых, по месту и роли государства в системе частной и общественной жизнедеятельности людей и, соответственно, по компетенции конкретных государственных органов; во-вторых, по характеру и иерархии законов и иных нормативных правовых актов, подлежащих обязательной реализации в управленческих процессах; в-третьих, по свойствам, формам и закономерностям управляемых объектов, которые дифференцируют и конкретизируют управляющие воздействия различных государственных органов, а также формируют специфические виды правоотношений.</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Можно выделить следующие источники, объективно порождающие управленческую информацию:</w:t>
            </w:r>
          </w:p>
          <w:p w:rsidR="000F0A3B" w:rsidRPr="000F0A3B" w:rsidRDefault="000F0A3B" w:rsidP="000F0A3B">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 нормы законодательных и иных актов, дающие право государственным органам и государственным служащим на принятие определенных управленческих решений или совершение управленческих действий в обозначенном времени и направлении;</w:t>
            </w:r>
          </w:p>
          <w:p w:rsidR="000F0A3B" w:rsidRPr="000F0A3B" w:rsidRDefault="000F0A3B" w:rsidP="000F0A3B">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 обращения граждан в государственные органы по реализации своих законных интересов и субъективных прав (обслуживание и защита прав и свобод граждан);</w:t>
            </w:r>
          </w:p>
          <w:p w:rsidR="000F0A3B" w:rsidRPr="000F0A3B" w:rsidRDefault="000F0A3B" w:rsidP="000F0A3B">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 обязательные указания вышестоящих государственных органов, подлежащие исполнению нижестоящими и обеспечивающие реальность государственного управления;</w:t>
            </w:r>
          </w:p>
          <w:p w:rsidR="000F0A3B" w:rsidRPr="000F0A3B" w:rsidRDefault="000F0A3B" w:rsidP="000F0A3B">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 факты, выявляемые отношения в процессах контроля, которые отражают состояние управляемых объектов, а также уровень функционирования управляющих компонентов;</w:t>
            </w:r>
          </w:p>
          <w:p w:rsidR="000F0A3B" w:rsidRPr="000F0A3B" w:rsidRDefault="000F0A3B" w:rsidP="000F0A3B">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 проблемные, конфликтные, экстремальные и иные сложные ситуации, нуждающиеся в оперативном и активном, сильном вмешательстве государственных органов и должностных лиц (управленческая информация о кризисных состояниях общественных процессов).</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Информация, используемая в системе государственного управления разнообразна и разнородна, она имеет свою природу и особые формы. Она позволяет описать внешнеполитическую, экологическую, социально-политическую и др. обстановку, проследить динамику тех или иных процессов, реализуемых в государстве и обществе.</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Информацию, используемую в государственном управлении, можно классифицировать по разным признакам. Ее можно разделить на официальную и неофициальную, общезначимую и региональную, горизонтальную и вертикальную, по содержанию и целевому назначению, по степени доступности, а также на основе ее соотношения со временем (информация о прошлом, в режиме реального времени, прогнозы о будущем).</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b/>
                <w:bCs/>
                <w:color w:val="646464"/>
                <w:sz w:val="23"/>
                <w:szCs w:val="23"/>
                <w:lang w:eastAsia="ru-RU"/>
              </w:rPr>
              <w:t>Информация</w:t>
            </w:r>
            <w:r w:rsidRPr="000F0A3B">
              <w:rPr>
                <w:rFonts w:ascii="Arial" w:eastAsia="Times New Roman" w:hAnsi="Arial" w:cs="Arial"/>
                <w:color w:val="646464"/>
                <w:sz w:val="23"/>
                <w:szCs w:val="23"/>
                <w:lang w:eastAsia="ru-RU"/>
              </w:rPr>
              <w:t>, из каких бы источников она ни шла, и кто бы ни выступал ее носителем, непременно должна соответствовать определённым требованиям. Она должна быть актуальной, достоверной, достаточной, доступной, оперативной, адекватной для принятия соответствующих решений.</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Цель информационного обеспечения административно-государственного управления состоит в том, чтобы на базе собранных исходных данных получить обработанную, агрегированную информацию, которая должна служить основой для принятия управленческих решений. Для достижения этой цели необходимо обеспечить сбор первичной информации, ее хранение, распределение между структурными подразделениями государственного органа и их работниками, подготовить к переработке, переработать, предоставить органу управления в переработанном виде, провести анализ, обеспечить прямые и обратные связи ее циркуляции и т.д. Все это невозможно эффективно делать без средств вычислительной техники и новых информационных технологий. Эффективность принимаемых решений зависит от качества информации, средств и методов ее обработки. Одной из важнейших проблем информационного обеспечения государственного управления является определение достаточности информационного обеспечения.</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Современное развитие государства выдвигает на первый план решение глобальной социально-управленческой задачи - формирование </w:t>
            </w:r>
            <w:r w:rsidRPr="000F0A3B">
              <w:rPr>
                <w:rFonts w:ascii="Arial" w:eastAsia="Times New Roman" w:hAnsi="Arial" w:cs="Arial"/>
                <w:b/>
                <w:bCs/>
                <w:color w:val="646464"/>
                <w:sz w:val="23"/>
                <w:szCs w:val="23"/>
                <w:lang w:eastAsia="ru-RU"/>
              </w:rPr>
              <w:t>единого информационно-правового пространства</w:t>
            </w:r>
            <w:r w:rsidRPr="000F0A3B">
              <w:rPr>
                <w:rFonts w:ascii="Arial" w:eastAsia="Times New Roman" w:hAnsi="Arial" w:cs="Arial"/>
                <w:color w:val="646464"/>
                <w:sz w:val="23"/>
                <w:szCs w:val="23"/>
                <w:lang w:eastAsia="ru-RU"/>
              </w:rPr>
              <w:t>, что позволит рационально и эффективно решать проблему информационного взаимодействия органов государственной власти, обеспечить оперативность, обоснованность, корректность принимаемых решений.</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Уровень информационного обеспечения, степень оснащенности современными техническими, технологическими, телекоммуникационными системами определяют эффективность государственного управления. Применение микроэлектроники, информатики, микропроцессов, роботов и других современных обслуживающих средств открывает возможность перевода всей работы с информацией на новые научный и технический уровни.</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Важный аспект информационного обеспечения государственного управления связан с развитием ее </w:t>
            </w:r>
            <w:r w:rsidRPr="000F0A3B">
              <w:rPr>
                <w:rFonts w:ascii="Arial" w:eastAsia="Times New Roman" w:hAnsi="Arial" w:cs="Arial"/>
                <w:b/>
                <w:bCs/>
                <w:color w:val="646464"/>
                <w:sz w:val="23"/>
                <w:szCs w:val="23"/>
                <w:lang w:eastAsia="ru-RU"/>
              </w:rPr>
              <w:t>технической базы</w:t>
            </w:r>
            <w:r w:rsidRPr="000F0A3B">
              <w:rPr>
                <w:rFonts w:ascii="Arial" w:eastAsia="Times New Roman" w:hAnsi="Arial" w:cs="Arial"/>
                <w:color w:val="646464"/>
                <w:sz w:val="23"/>
                <w:szCs w:val="23"/>
                <w:lang w:eastAsia="ru-RU"/>
              </w:rPr>
              <w:t>. Распространение получают комбинированные информационные системы, сочетающие механические средства ручного обращения с информацией, электронно-вычислительную технику и человеческий разум.</w:t>
            </w:r>
          </w:p>
          <w:p w:rsidR="000F0A3B" w:rsidRPr="000F0A3B" w:rsidRDefault="000F0A3B" w:rsidP="000F0A3B">
            <w:pPr>
              <w:spacing w:before="100" w:beforeAutospacing="1" w:after="100" w:afterAutospacing="1" w:line="240" w:lineRule="auto"/>
              <w:rPr>
                <w:rFonts w:ascii="Arial" w:eastAsia="Times New Roman" w:hAnsi="Arial" w:cs="Arial"/>
                <w:color w:val="646464"/>
                <w:sz w:val="23"/>
                <w:szCs w:val="23"/>
                <w:lang w:eastAsia="ru-RU"/>
              </w:rPr>
            </w:pPr>
            <w:r w:rsidRPr="000F0A3B">
              <w:rPr>
                <w:rFonts w:ascii="Arial" w:eastAsia="Times New Roman" w:hAnsi="Arial" w:cs="Arial"/>
                <w:color w:val="646464"/>
                <w:sz w:val="23"/>
                <w:szCs w:val="23"/>
                <w:lang w:eastAsia="ru-RU"/>
              </w:rPr>
              <w:t>Можно выделить несколько направлений в области информационного обеспечения государственного управления. Это чисто </w:t>
            </w:r>
            <w:r w:rsidRPr="000F0A3B">
              <w:rPr>
                <w:rFonts w:ascii="Arial" w:eastAsia="Times New Roman" w:hAnsi="Arial" w:cs="Arial"/>
                <w:b/>
                <w:bCs/>
                <w:i/>
                <w:iCs/>
                <w:color w:val="646464"/>
                <w:sz w:val="23"/>
                <w:szCs w:val="23"/>
                <w:lang w:eastAsia="ru-RU"/>
              </w:rPr>
              <w:t>технико-технологическое направление</w:t>
            </w:r>
            <w:r w:rsidRPr="000F0A3B">
              <w:rPr>
                <w:rFonts w:ascii="Arial" w:eastAsia="Times New Roman" w:hAnsi="Arial" w:cs="Arial"/>
                <w:color w:val="646464"/>
                <w:sz w:val="23"/>
                <w:szCs w:val="23"/>
                <w:lang w:eastAsia="ru-RU"/>
              </w:rPr>
              <w:t>, решаемое специалистами в области электронно-вычислительной техники и информатики. </w:t>
            </w:r>
            <w:r w:rsidRPr="000F0A3B">
              <w:rPr>
                <w:rFonts w:ascii="Arial" w:eastAsia="Times New Roman" w:hAnsi="Arial" w:cs="Arial"/>
                <w:b/>
                <w:bCs/>
                <w:i/>
                <w:iCs/>
                <w:color w:val="646464"/>
                <w:sz w:val="23"/>
                <w:szCs w:val="23"/>
                <w:lang w:eastAsia="ru-RU"/>
              </w:rPr>
              <w:t>Другое направление</w:t>
            </w:r>
            <w:r w:rsidRPr="000F0A3B">
              <w:rPr>
                <w:rFonts w:ascii="Arial" w:eastAsia="Times New Roman" w:hAnsi="Arial" w:cs="Arial"/>
                <w:color w:val="646464"/>
                <w:sz w:val="23"/>
                <w:szCs w:val="23"/>
                <w:lang w:eastAsia="ru-RU"/>
              </w:rPr>
              <w:t> - непосредственно управленческое состоит в </w:t>
            </w:r>
            <w:r w:rsidRPr="000F0A3B">
              <w:rPr>
                <w:rFonts w:ascii="Arial" w:eastAsia="Times New Roman" w:hAnsi="Arial" w:cs="Arial"/>
                <w:b/>
                <w:bCs/>
                <w:color w:val="646464"/>
                <w:sz w:val="23"/>
                <w:szCs w:val="23"/>
                <w:lang w:eastAsia="ru-RU"/>
              </w:rPr>
              <w:t>стандартизации и унификации управленческой информации</w:t>
            </w:r>
            <w:r w:rsidRPr="000F0A3B">
              <w:rPr>
                <w:rFonts w:ascii="Arial" w:eastAsia="Times New Roman" w:hAnsi="Arial" w:cs="Arial"/>
                <w:color w:val="646464"/>
                <w:sz w:val="23"/>
                <w:szCs w:val="23"/>
                <w:lang w:eastAsia="ru-RU"/>
              </w:rPr>
              <w:t>. </w:t>
            </w:r>
            <w:r w:rsidRPr="000F0A3B">
              <w:rPr>
                <w:rFonts w:ascii="Arial" w:eastAsia="Times New Roman" w:hAnsi="Arial" w:cs="Arial"/>
                <w:b/>
                <w:bCs/>
                <w:i/>
                <w:iCs/>
                <w:color w:val="646464"/>
                <w:sz w:val="23"/>
                <w:szCs w:val="23"/>
                <w:lang w:eastAsia="ru-RU"/>
              </w:rPr>
              <w:t>Третье направление</w:t>
            </w:r>
            <w:r w:rsidRPr="000F0A3B">
              <w:rPr>
                <w:rFonts w:ascii="Arial" w:eastAsia="Times New Roman" w:hAnsi="Arial" w:cs="Arial"/>
                <w:color w:val="646464"/>
                <w:sz w:val="23"/>
                <w:szCs w:val="23"/>
                <w:lang w:eastAsia="ru-RU"/>
              </w:rPr>
              <w:t> определяется развитием профессиональной и психологической подготовки персонала управления. И </w:t>
            </w:r>
            <w:r w:rsidRPr="000F0A3B">
              <w:rPr>
                <w:rFonts w:ascii="Arial" w:eastAsia="Times New Roman" w:hAnsi="Arial" w:cs="Arial"/>
                <w:b/>
                <w:bCs/>
                <w:i/>
                <w:iCs/>
                <w:color w:val="646464"/>
                <w:sz w:val="23"/>
                <w:szCs w:val="23"/>
                <w:lang w:eastAsia="ru-RU"/>
              </w:rPr>
              <w:t>четвертое направление</w:t>
            </w:r>
            <w:r w:rsidRPr="000F0A3B">
              <w:rPr>
                <w:rFonts w:ascii="Arial" w:eastAsia="Times New Roman" w:hAnsi="Arial" w:cs="Arial"/>
                <w:color w:val="646464"/>
                <w:sz w:val="23"/>
                <w:szCs w:val="23"/>
                <w:lang w:eastAsia="ru-RU"/>
              </w:rPr>
              <w:t> связано с тем, что информация в государственном управлении при обработке и хранении ее любыми средствами во многом имеет правовой характер, основана на правовых нормах и часто служит юридическим основанием для принятия управленческих решений. Для этого необходимо юридически решать вопросы о непосредственном взаимодействии информационной системы и системы государственного управления, а также о полномочиях должностных лиц совершать юридически значимые действия путем введения соответствующей информации в информационную систему.</w:t>
            </w:r>
          </w:p>
        </w:tc>
      </w:tr>
    </w:tbl>
    <w:p w:rsidR="00077E0B" w:rsidRDefault="00077E0B">
      <w:bookmarkStart w:id="0" w:name="_GoBack"/>
      <w:bookmarkEnd w:id="0"/>
    </w:p>
    <w:sectPr w:rsidR="00077E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D526FA"/>
    <w:multiLevelType w:val="multilevel"/>
    <w:tmpl w:val="1514D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CAD"/>
    <w:rsid w:val="00077E0B"/>
    <w:rsid w:val="000F0A3B"/>
    <w:rsid w:val="00EF5C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DD15D7-9BFC-4B0E-BB5D-CB70822A8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956618">
      <w:bodyDiv w:val="1"/>
      <w:marLeft w:val="0"/>
      <w:marRight w:val="0"/>
      <w:marTop w:val="0"/>
      <w:marBottom w:val="0"/>
      <w:divBdr>
        <w:top w:val="none" w:sz="0" w:space="0" w:color="auto"/>
        <w:left w:val="none" w:sz="0" w:space="0" w:color="auto"/>
        <w:bottom w:val="none" w:sz="0" w:space="0" w:color="auto"/>
        <w:right w:val="none" w:sz="0" w:space="0" w:color="auto"/>
      </w:divBdr>
      <w:divsChild>
        <w:div w:id="15565035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uzlit.ru/1343273/kadrovoe_obespechenie_gosudarstvennogo_upravleniya" TargetMode="External"/><Relationship Id="rId3" Type="http://schemas.openxmlformats.org/officeDocument/2006/relationships/settings" Target="settings.xml"/><Relationship Id="rId7" Type="http://schemas.openxmlformats.org/officeDocument/2006/relationships/hyperlink" Target="https://vuzlit.ru/1343270/obespechenie_gosudarstvennogo_upravleniy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uzlit.ru/1343270/obespechenie_gosudarstvennogo_upravleniya" TargetMode="External"/><Relationship Id="rId5" Type="http://schemas.openxmlformats.org/officeDocument/2006/relationships/hyperlink" Target="https://vuzlit.ru/1343271/pravovoe_obespechenie_gosudarstvennogo_upravleniy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1094</Words>
  <Characters>6237</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2</cp:revision>
  <dcterms:created xsi:type="dcterms:W3CDTF">2021-04-20T08:13:00Z</dcterms:created>
  <dcterms:modified xsi:type="dcterms:W3CDTF">2021-04-20T08:14:00Z</dcterms:modified>
</cp:coreProperties>
</file>